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3GPP TSG-RAN WG2 Meeting #108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  <w:t xml:space="preserve">  R2-1914898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Reno, NV, USA, November 18 – November 22,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</w:t>
      </w:r>
    </w:p>
    <w:p>
      <w:pPr>
        <w:pStyle w:val="a3"/>
        <w:rPr>
          <w:noProof w:val="0"/>
          <w:lang w:val="en-GB" w:eastAsia="ko-KR"/>
        </w:rPr>
      </w:pPr>
    </w:p>
    <w:p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 xml:space="preserve">6.7.1 </w:t>
      </w:r>
      <w:r>
        <w:rPr>
          <w:rFonts w:ascii="Arial" w:hAnsi="Arial" w:hint="eastAsia"/>
          <w:sz w:val="24"/>
          <w:lang w:val="en-US" w:eastAsia="ko-KR"/>
        </w:rPr>
        <w:t>(</w:t>
      </w:r>
      <w:r>
        <w:rPr>
          <w:rFonts w:ascii="Arial" w:hAnsi="Arial"/>
          <w:sz w:val="24"/>
          <w:lang w:val="en-US" w:eastAsia="ko-KR"/>
        </w:rPr>
        <w:t>NR_IIOT-Core</w:t>
      </w:r>
      <w:r>
        <w:rPr>
          <w:rFonts w:ascii="Arial" w:hAnsi="Arial" w:hint="eastAsia"/>
          <w:sz w:val="24"/>
          <w:lang w:val="en-US" w:eastAsia="ko-KR"/>
        </w:rPr>
        <w:t>)</w:t>
      </w:r>
    </w:p>
    <w:p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PDCP rapporteur (LG Electronics Inc.</w:t>
      </w:r>
      <w:r>
        <w:rPr>
          <w:rFonts w:ascii="Arial" w:hAnsi="Arial"/>
          <w:sz w:val="24"/>
          <w:lang w:val="en-US" w:eastAsia="ko-KR"/>
        </w:rPr>
        <w:t>)</w:t>
      </w:r>
    </w:p>
    <w:p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ko-KR"/>
        </w:rPr>
        <w:t>PDCP open issues for IIOT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This document summarizes PDCP open issues for IIOT identified </w:t>
      </w:r>
      <w:r>
        <w:rPr>
          <w:rFonts w:hint="eastAsia"/>
          <w:sz w:val="22"/>
          <w:lang w:val="en-US" w:eastAsia="ko-KR"/>
        </w:rPr>
        <w:t>i</w:t>
      </w:r>
      <w:r>
        <w:rPr>
          <w:sz w:val="22"/>
          <w:lang w:val="en-US" w:eastAsia="ko-KR"/>
        </w:rPr>
        <w:t>dentified when implementing PDCP running CR [1]. The issues addressed here should be resolved to finalize PDCP specification.</w:t>
      </w:r>
    </w:p>
    <w:p>
      <w:pPr>
        <w:rPr>
          <w:sz w:val="22"/>
          <w:lang w:val="en-US" w:eastAsia="ko-KR"/>
        </w:rPr>
      </w:pPr>
    </w:p>
    <w:p>
      <w:pPr>
        <w:pStyle w:val="1"/>
        <w:rPr>
          <w:sz w:val="22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  <w:t>PDCP open issues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71"/>
        <w:gridCol w:w="3969"/>
        <w:gridCol w:w="4391"/>
      </w:tblGrid>
      <w:tr>
        <w:tc>
          <w:tcPr>
            <w:tcW w:w="1271" w:type="dxa"/>
          </w:tcPr>
          <w:p>
            <w:pPr>
              <w:rPr>
                <w:sz w:val="22"/>
                <w:lang w:val="en-US" w:eastAsia="ko-KR"/>
              </w:rPr>
            </w:pPr>
          </w:p>
        </w:tc>
        <w:tc>
          <w:tcPr>
            <w:tcW w:w="3969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Issues</w:t>
            </w:r>
          </w:p>
        </w:tc>
        <w:tc>
          <w:tcPr>
            <w:tcW w:w="4391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Comment</w:t>
            </w:r>
          </w:p>
        </w:tc>
      </w:tr>
      <w:tr>
        <w:tc>
          <w:tcPr>
            <w:tcW w:w="1271" w:type="dxa"/>
            <w:vMerge w:val="restart"/>
          </w:tcPr>
          <w:p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EHC</w:t>
            </w:r>
          </w:p>
        </w:tc>
        <w:tc>
          <w:tcPr>
            <w:tcW w:w="3969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Processing order of EHC and ROHC when both are configured</w:t>
            </w:r>
          </w:p>
        </w:tc>
        <w:tc>
          <w:tcPr>
            <w:tcW w:w="4391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Do we need specific order for EHC and ROHC?</w:t>
            </w:r>
            <w:r>
              <w:rPr>
                <w:sz w:val="22"/>
                <w:lang w:val="en-US" w:eastAsia="ko-KR"/>
              </w:rPr>
              <w:t xml:space="preserve"> Could it be left up to implementation? Both transmitting side and receiving side should be considered.</w:t>
            </w:r>
          </w:p>
        </w:tc>
      </w:tr>
      <w:tr>
        <w:tc>
          <w:tcPr>
            <w:tcW w:w="1271" w:type="dxa"/>
            <w:vMerge/>
          </w:tcPr>
          <w:p>
            <w:pPr>
              <w:rPr>
                <w:sz w:val="22"/>
                <w:lang w:val="en-US" w:eastAsia="ko-KR"/>
              </w:rPr>
            </w:pPr>
          </w:p>
        </w:tc>
        <w:tc>
          <w:tcPr>
            <w:tcW w:w="3969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Whether to reset EHC protocol at PDCP re-establishment</w:t>
            </w:r>
          </w:p>
        </w:tc>
        <w:tc>
          <w:tcPr>
            <w:tcW w:w="4391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Do we need</w:t>
            </w:r>
            <w:r>
              <w:rPr>
                <w:rFonts w:hint="eastAsia"/>
                <w:sz w:val="22"/>
                <w:lang w:val="en-US" w:eastAsia="ko-KR"/>
              </w:rPr>
              <w:t xml:space="preserve"> to reset the EHC protocol</w:t>
            </w:r>
            <w:r>
              <w:rPr>
                <w:sz w:val="22"/>
                <w:lang w:val="en-US" w:eastAsia="ko-KR"/>
              </w:rPr>
              <w:t xml:space="preserve"> at PDCP re-establishment in order to initialize EHC context?</w:t>
            </w:r>
          </w:p>
        </w:tc>
      </w:tr>
      <w:tr>
        <w:tc>
          <w:tcPr>
            <w:tcW w:w="1271" w:type="dxa"/>
            <w:vMerge/>
          </w:tcPr>
          <w:p>
            <w:pPr>
              <w:rPr>
                <w:sz w:val="22"/>
                <w:lang w:val="en-US" w:eastAsia="ko-KR"/>
              </w:rPr>
            </w:pPr>
          </w:p>
        </w:tc>
        <w:tc>
          <w:tcPr>
            <w:tcW w:w="3969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Transmission of interspersed EHC feedback</w:t>
            </w:r>
          </w:p>
        </w:tc>
        <w:tc>
          <w:tcPr>
            <w:tcW w:w="4391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Which method should be used for transporting EHC feedback? PDCP Control PDU or PDCP Data PDU?</w:t>
            </w:r>
          </w:p>
        </w:tc>
      </w:tr>
      <w:tr>
        <w:tc>
          <w:tcPr>
            <w:tcW w:w="1271" w:type="dxa"/>
            <w:vMerge/>
          </w:tcPr>
          <w:p>
            <w:pPr>
              <w:rPr>
                <w:sz w:val="22"/>
                <w:lang w:val="en-US" w:eastAsia="ko-KR"/>
              </w:rPr>
            </w:pPr>
          </w:p>
        </w:tc>
        <w:tc>
          <w:tcPr>
            <w:tcW w:w="3969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EHC packet format</w:t>
            </w:r>
          </w:p>
        </w:tc>
        <w:tc>
          <w:tcPr>
            <w:tcW w:w="4391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Formats of EHC full header packet, EHC compressed header packet, and EHC feedback packet should be decided.</w:t>
            </w:r>
          </w:p>
        </w:tc>
      </w:tr>
      <w:tr>
        <w:tc>
          <w:tcPr>
            <w:tcW w:w="1271" w:type="dxa"/>
            <w:vMerge w:val="restart"/>
          </w:tcPr>
          <w:p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PDCP Duplication</w:t>
            </w:r>
          </w:p>
        </w:tc>
        <w:tc>
          <w:tcPr>
            <w:tcW w:w="3969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 xml:space="preserve">Whether the primary path can be deactivated for PDCP </w:t>
            </w:r>
            <w:r>
              <w:rPr>
                <w:sz w:val="22"/>
                <w:lang w:val="en-US" w:eastAsia="ko-KR"/>
              </w:rPr>
              <w:t>D</w:t>
            </w:r>
            <w:r>
              <w:rPr>
                <w:rFonts w:hint="eastAsia"/>
                <w:sz w:val="22"/>
                <w:lang w:val="en-US" w:eastAsia="ko-KR"/>
              </w:rPr>
              <w:t>ata PDU</w:t>
            </w:r>
          </w:p>
        </w:tc>
        <w:tc>
          <w:tcPr>
            <w:tcW w:w="4391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It has impact</w:t>
            </w:r>
            <w:r>
              <w:rPr>
                <w:sz w:val="22"/>
                <w:lang w:val="en-US" w:eastAsia="ko-KR"/>
              </w:rPr>
              <w:t>s on both PDCP procedures (</w:t>
            </w:r>
            <w:r>
              <w:rPr>
                <w:rFonts w:hint="eastAsia"/>
                <w:sz w:val="22"/>
                <w:lang w:val="en-US" w:eastAsia="ko-KR"/>
              </w:rPr>
              <w:t>UL data transmission and data volume calculation</w:t>
            </w:r>
            <w:r>
              <w:rPr>
                <w:sz w:val="22"/>
                <w:lang w:val="en-US" w:eastAsia="ko-KR"/>
              </w:rPr>
              <w:t>) and Duplication MAC CE format.</w:t>
            </w:r>
          </w:p>
        </w:tc>
      </w:tr>
      <w:tr>
        <w:tc>
          <w:tcPr>
            <w:tcW w:w="1271" w:type="dxa"/>
            <w:vMerge/>
          </w:tcPr>
          <w:p>
            <w:pPr>
              <w:rPr>
                <w:sz w:val="22"/>
                <w:lang w:val="en-US" w:eastAsia="ko-KR"/>
              </w:rPr>
            </w:pPr>
          </w:p>
        </w:tc>
        <w:tc>
          <w:tcPr>
            <w:tcW w:w="3969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 xml:space="preserve">The PDCP behavior </w:t>
            </w:r>
            <w:r>
              <w:rPr>
                <w:sz w:val="22"/>
                <w:lang w:val="en-US" w:eastAsia="ko-KR"/>
              </w:rPr>
              <w:t xml:space="preserve">at PDCP duplication deactivation </w:t>
            </w:r>
            <w:r>
              <w:rPr>
                <w:rFonts w:hint="eastAsia"/>
                <w:sz w:val="22"/>
                <w:lang w:val="en-US" w:eastAsia="ko-KR"/>
              </w:rPr>
              <w:t xml:space="preserve">when </w:t>
            </w:r>
            <w:r>
              <w:rPr>
                <w:sz w:val="22"/>
                <w:lang w:val="en-US" w:eastAsia="ko-KR"/>
              </w:rPr>
              <w:t>configured with more than two RLC entities</w:t>
            </w:r>
          </w:p>
        </w:tc>
        <w:tc>
          <w:tcPr>
            <w:tcW w:w="4391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 xml:space="preserve">The PDCP behavior is not clear </w:t>
            </w:r>
            <w:r>
              <w:rPr>
                <w:sz w:val="22"/>
                <w:lang w:val="en-US" w:eastAsia="ko-KR"/>
              </w:rPr>
              <w:t>in this case.</w:t>
            </w:r>
            <w:r>
              <w:rPr>
                <w:rFonts w:hint="eastAsia"/>
                <w:sz w:val="22"/>
                <w:lang w:val="en-US" w:eastAsia="ko-KR"/>
              </w:rPr>
              <w:t xml:space="preserve"> </w:t>
            </w:r>
            <w:r>
              <w:rPr>
                <w:sz w:val="22"/>
                <w:lang w:val="en-US" w:eastAsia="ko-KR"/>
              </w:rPr>
              <w:t>In addition, s</w:t>
            </w:r>
            <w:r>
              <w:rPr>
                <w:rFonts w:hint="eastAsia"/>
                <w:sz w:val="22"/>
                <w:lang w:val="en-US" w:eastAsia="ko-KR"/>
              </w:rPr>
              <w:t xml:space="preserve">plit bearer </w:t>
            </w:r>
            <w:r>
              <w:rPr>
                <w:sz w:val="22"/>
                <w:lang w:val="en-US" w:eastAsia="ko-KR"/>
              </w:rPr>
              <w:t xml:space="preserve">operation </w:t>
            </w:r>
            <w:r>
              <w:rPr>
                <w:rFonts w:hint="eastAsia"/>
                <w:sz w:val="22"/>
                <w:lang w:val="en-US" w:eastAsia="ko-KR"/>
              </w:rPr>
              <w:t>with more than two associated RLC entities</w:t>
            </w:r>
            <w:r>
              <w:rPr>
                <w:sz w:val="22"/>
                <w:lang w:val="en-US" w:eastAsia="ko-KR"/>
              </w:rPr>
              <w:t xml:space="preserve"> is not supported.</w:t>
            </w:r>
          </w:p>
        </w:tc>
      </w:tr>
      <w:tr>
        <w:tc>
          <w:tcPr>
            <w:tcW w:w="1271" w:type="dxa"/>
            <w:vMerge/>
          </w:tcPr>
          <w:p>
            <w:pPr>
              <w:rPr>
                <w:sz w:val="22"/>
                <w:lang w:val="en-US" w:eastAsia="ko-KR"/>
              </w:rPr>
            </w:pPr>
          </w:p>
        </w:tc>
        <w:tc>
          <w:tcPr>
            <w:tcW w:w="3969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 xml:space="preserve">Support for concurrent use of </w:t>
            </w:r>
            <w:r>
              <w:rPr>
                <w:rFonts w:hint="eastAsia"/>
                <w:sz w:val="22"/>
                <w:lang w:val="en-US" w:eastAsia="ko-KR"/>
              </w:rPr>
              <w:t xml:space="preserve">Rel-15 </w:t>
            </w:r>
            <w:r>
              <w:rPr>
                <w:sz w:val="22"/>
                <w:lang w:val="en-US" w:eastAsia="ko-KR"/>
              </w:rPr>
              <w:t>Duplication MAC CE and Rel-16 Duplication MAC CE</w:t>
            </w:r>
          </w:p>
        </w:tc>
        <w:tc>
          <w:tcPr>
            <w:tcW w:w="4391" w:type="dxa"/>
          </w:tcPr>
          <w:p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 xml:space="preserve">Is the Rel-15 Duplication MAC CE still used in Rel-16? </w:t>
            </w:r>
            <w:r>
              <w:rPr>
                <w:sz w:val="22"/>
                <w:lang w:val="en-US" w:eastAsia="ko-KR"/>
              </w:rPr>
              <w:t>If yes, then how does it work together with Rel-16 Duplication M</w:t>
            </w:r>
            <w:bookmarkStart w:id="2" w:name="_GoBack"/>
            <w:bookmarkEnd w:id="2"/>
            <w:r>
              <w:rPr>
                <w:sz w:val="22"/>
                <w:lang w:val="en-US" w:eastAsia="ko-KR"/>
              </w:rPr>
              <w:t>AC CE?</w:t>
            </w:r>
          </w:p>
        </w:tc>
      </w:tr>
    </w:tbl>
    <w:p>
      <w:pPr>
        <w:rPr>
          <w:sz w:val="22"/>
          <w:lang w:val="en-US" w:eastAsia="ko-KR"/>
        </w:rPr>
      </w:pPr>
    </w:p>
    <w:p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lastRenderedPageBreak/>
        <w:t>3.</w:t>
      </w:r>
      <w:r>
        <w:rPr>
          <w:lang w:val="en-US"/>
        </w:rPr>
        <w:tab/>
      </w:r>
      <w:r>
        <w:rPr>
          <w:lang w:val="en-US" w:eastAsia="ko-KR"/>
        </w:rPr>
        <w:t>Proposal</w:t>
      </w:r>
    </w:p>
    <w:p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RAN2 discuss the identified open issues to finalize the PDCP specification.</w:t>
      </w:r>
    </w:p>
    <w:p>
      <w:pPr>
        <w:rPr>
          <w:sz w:val="22"/>
          <w:lang w:val="en-US" w:eastAsia="ko-KR"/>
        </w:rPr>
      </w:pPr>
    </w:p>
    <w:sectPr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FEE4139"/>
    <w:multiLevelType w:val="hybridMultilevel"/>
    <w:tmpl w:val="2DCC30E4"/>
    <w:lvl w:ilvl="0" w:tplc="8BCE01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E8D3E50"/>
    <w:multiLevelType w:val="hybridMultilevel"/>
    <w:tmpl w:val="AD6CB9E4"/>
    <w:lvl w:ilvl="0" w:tplc="786AE8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4086E9D"/>
    <w:multiLevelType w:val="hybridMultilevel"/>
    <w:tmpl w:val="F146B122"/>
    <w:lvl w:ilvl="0" w:tplc="34748E6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8BA88C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AFEC7D22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2"/>
  </w:num>
  <w:num w:numId="4">
    <w:abstractNumId w:val="18"/>
  </w:num>
  <w:num w:numId="5">
    <w:abstractNumId w:val="9"/>
  </w:num>
  <w:num w:numId="6">
    <w:abstractNumId w:val="13"/>
  </w:num>
  <w:num w:numId="7">
    <w:abstractNumId w:val="31"/>
  </w:num>
  <w:num w:numId="8">
    <w:abstractNumId w:val="22"/>
  </w:num>
  <w:num w:numId="9">
    <w:abstractNumId w:val="5"/>
  </w:num>
  <w:num w:numId="10">
    <w:abstractNumId w:val="14"/>
  </w:num>
  <w:num w:numId="11">
    <w:abstractNumId w:val="3"/>
  </w:num>
  <w:num w:numId="12">
    <w:abstractNumId w:val="26"/>
  </w:num>
  <w:num w:numId="13">
    <w:abstractNumId w:val="4"/>
  </w:num>
  <w:num w:numId="14">
    <w:abstractNumId w:val="15"/>
  </w:num>
  <w:num w:numId="15">
    <w:abstractNumId w:val="2"/>
  </w:num>
  <w:num w:numId="16">
    <w:abstractNumId w:val="33"/>
  </w:num>
  <w:num w:numId="17">
    <w:abstractNumId w:val="28"/>
  </w:num>
  <w:num w:numId="18">
    <w:abstractNumId w:val="25"/>
  </w:num>
  <w:num w:numId="19">
    <w:abstractNumId w:val="17"/>
  </w:num>
  <w:num w:numId="20">
    <w:abstractNumId w:val="6"/>
  </w:num>
  <w:num w:numId="21">
    <w:abstractNumId w:val="19"/>
  </w:num>
  <w:num w:numId="22">
    <w:abstractNumId w:val="7"/>
  </w:num>
  <w:num w:numId="23">
    <w:abstractNumId w:val="21"/>
  </w:num>
  <w:num w:numId="24">
    <w:abstractNumId w:val="23"/>
  </w:num>
  <w:num w:numId="25">
    <w:abstractNumId w:val="1"/>
  </w:num>
  <w:num w:numId="26">
    <w:abstractNumId w:val="11"/>
  </w:num>
  <w:num w:numId="27">
    <w:abstractNumId w:val="27"/>
  </w:num>
  <w:num w:numId="28">
    <w:abstractNumId w:val="29"/>
  </w:num>
  <w:num w:numId="29">
    <w:abstractNumId w:val="12"/>
  </w:num>
  <w:num w:numId="30">
    <w:abstractNumId w:val="20"/>
  </w:num>
  <w:num w:numId="31">
    <w:abstractNumId w:val="16"/>
  </w:num>
  <w:num w:numId="32">
    <w:abstractNumId w:val="30"/>
  </w:num>
  <w:num w:numId="33">
    <w:abstractNumId w:val="8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7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</w:rPr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pPr>
      <w:numPr>
        <w:numId w:val="3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4F1BE-8512-4C3B-9342-3ECE3F43A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2006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RAN2#107bis</cp:lastModifiedBy>
  <cp:revision>386</cp:revision>
  <dcterms:created xsi:type="dcterms:W3CDTF">2017-04-17T04:10:00Z</dcterms:created>
  <dcterms:modified xsi:type="dcterms:W3CDTF">2019-11-07T06:08:00Z</dcterms:modified>
</cp:coreProperties>
</file>